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pf8oqzp304g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Value Your Business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Don’t guess—calculate.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Most owners overestimate their business's value because they calculate based on "sweat equity" and emotional investment. Buyers, however, calculate based on </w:t>
      </w:r>
      <w:r w:rsidDel="00000000" w:rsidR="00000000" w:rsidRPr="00000000">
        <w:rPr>
          <w:b w:val="1"/>
          <w:bCs w:val="1"/>
          <w:rtl w:val="0"/>
        </w:rPr>
        <w:t xml:space="preserve">risk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transferable cash flow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To get a realistic number, you must view your business through the lens of a buyer. Use this framework to move from a "back-of-the-napkin" guess to a defensible market valuation.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uhik5w747o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Calculate Your SDE (Seller’s Discretionary Earnings)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For most small businesses (under $5M in revenue), buyers do not look at Net Profit alone. They look at </w:t>
      </w:r>
      <w:r w:rsidDel="00000000" w:rsidR="00000000" w:rsidRPr="00000000">
        <w:rPr>
          <w:b w:val="1"/>
          <w:bCs w:val="1"/>
          <w:rtl w:val="0"/>
        </w:rPr>
        <w:t xml:space="preserve">SDE</w:t>
      </w:r>
      <w:r w:rsidDel="00000000" w:rsidR="00000000" w:rsidRPr="00000000">
        <w:rPr>
          <w:rtl w:val="0"/>
        </w:rPr>
        <w:t xml:space="preserve">. This represents the total financial benefit the current owner derives from the business.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SDE Formula:</w:t>
      </w:r>
    </w:p>
    <w:p w:rsidR="00000000" w:rsidDel="00000000" w:rsidP="00000000" w:rsidRDefault="00000000" w:rsidRPr="00000000" w14:paraId="00000008">
      <w:pPr>
        <w:spacing w:after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Net Profit (Pre-Tax) + Owner’s Salary + Owner’s Perks + Non-Cash Expenses (Depreciation/Amortization) + One-Time Expenses = SDE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Owner’s Salary:</w:t>
      </w:r>
      <w:r w:rsidDel="00000000" w:rsidR="00000000" w:rsidRPr="00000000">
        <w:rPr>
          <w:rtl w:val="0"/>
        </w:rPr>
        <w:t xml:space="preserve"> Add back what you pay yourself.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Perks:</w:t>
      </w:r>
      <w:r w:rsidDel="00000000" w:rsidR="00000000" w:rsidRPr="00000000">
        <w:rPr>
          <w:rtl w:val="0"/>
        </w:rPr>
        <w:t xml:space="preserve"> Personal vehicles, health insurance, cell phones, or travel expensed to the business.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One-Time Expenses:</w:t>
      </w:r>
      <w:r w:rsidDel="00000000" w:rsidR="00000000" w:rsidRPr="00000000">
        <w:rPr>
          <w:rtl w:val="0"/>
        </w:rPr>
        <w:t xml:space="preserve"> A lawsuit settlement, a one-time website overhaul, or major storm repair.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wd0lk9f3qk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Determine Your Industry Multiple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Once you have your SDE, you apply a "multiple." This is the number of years of profit a buyer is willing to pay for upfront.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Average Small Business Multiple:</w:t>
      </w:r>
      <w:r w:rsidDel="00000000" w:rsidR="00000000" w:rsidRPr="00000000">
        <w:rPr>
          <w:rtl w:val="0"/>
        </w:rPr>
        <w:t xml:space="preserve"> 2.0x – 3.0x SDE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High-Growth/SaaS Multiple:</w:t>
      </w:r>
      <w:r w:rsidDel="00000000" w:rsidR="00000000" w:rsidRPr="00000000">
        <w:rPr>
          <w:rtl w:val="0"/>
        </w:rPr>
        <w:t xml:space="preserve"> 3.5x – 5.0x+ SDE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Distressed/Owner-Dependent Business:</w:t>
      </w:r>
      <w:r w:rsidDel="00000000" w:rsidR="00000000" w:rsidRPr="00000000">
        <w:rPr>
          <w:rtl w:val="0"/>
        </w:rPr>
        <w:t xml:space="preserve"> 1.0x – 1.5x SDE</w:t>
      </w:r>
    </w:p>
    <w:p w:rsidR="00000000" w:rsidDel="00000000" w:rsidP="00000000" w:rsidRDefault="00000000" w:rsidRPr="00000000" w14:paraId="00000011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Example: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If your SDE is $150,000 and the average multiple for your industry is 2.5x: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$$\$150,000 \times 2.5 = \$375,000 \text{ Estimated Value}$$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17beiwnbbn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Value Drivers (How to Increase Your Multiple)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  <w:t xml:space="preserve">You can’t always control the market, but you can control the factors that push your multiple from a 2.0x to a 3.0x.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50"/>
        <w:gridCol w:w="4370"/>
        <w:tblGridChange w:id="0">
          <w:tblGrid>
            <w:gridCol w:w="4850"/>
            <w:gridCol w:w="437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 Detractor (Lowers Multiple)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 Enhancer (Raises Multiple)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 Dependency:</w:t>
            </w:r>
            <w:r w:rsidDel="00000000" w:rsidR="00000000" w:rsidRPr="00000000">
              <w:rPr>
                <w:rtl w:val="0"/>
              </w:rPr>
              <w:t xml:space="preserve"> The business stops if you go on vacation.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Management Team:</w:t>
            </w:r>
            <w:r w:rsidDel="00000000" w:rsidR="00000000" w:rsidRPr="00000000">
              <w:rPr>
                <w:rtl w:val="0"/>
              </w:rPr>
              <w:t xml:space="preserve"> A second-in-command runs daily ops.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Customer Concentration:</w:t>
            </w:r>
            <w:r w:rsidDel="00000000" w:rsidR="00000000" w:rsidRPr="00000000">
              <w:rPr>
                <w:rtl w:val="0"/>
              </w:rPr>
              <w:t xml:space="preserve"> One client is 30%+ of revenue.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Diverse Base:</w:t>
            </w:r>
            <w:r w:rsidDel="00000000" w:rsidR="00000000" w:rsidRPr="00000000">
              <w:rPr>
                <w:rtl w:val="0"/>
              </w:rPr>
              <w:t xml:space="preserve"> No single client is &gt;10% of revenue.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Volatile Earnings:</w:t>
            </w:r>
            <w:r w:rsidDel="00000000" w:rsidR="00000000" w:rsidRPr="00000000">
              <w:rPr>
                <w:rtl w:val="0"/>
              </w:rPr>
              <w:t xml:space="preserve"> Revenue swings wildly year-to-year.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Recurring Revenue:</w:t>
            </w:r>
            <w:r w:rsidDel="00000000" w:rsidR="00000000" w:rsidRPr="00000000">
              <w:rPr>
                <w:rtl w:val="0"/>
              </w:rPr>
              <w:t xml:space="preserve"> Contracts or subscriptions (MRR).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Messy Books:</w:t>
            </w:r>
            <w:r w:rsidDel="00000000" w:rsidR="00000000" w:rsidRPr="00000000">
              <w:rPr>
                <w:rtl w:val="0"/>
              </w:rPr>
              <w:t xml:space="preserve"> Co-mingled personal/business finances.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 Financials:</w:t>
            </w:r>
            <w:r w:rsidDel="00000000" w:rsidR="00000000" w:rsidRPr="00000000">
              <w:rPr>
                <w:rtl w:val="0"/>
              </w:rPr>
              <w:t xml:space="preserve"> 3 years of tax returns that match P&amp;L.</w:t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umtzynsd2n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Valuation Methodologies at a Glance</w:t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  <w:t xml:space="preserve">Depending on your business type, use the correct approach: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 Approach (The Standard):</w:t>
      </w:r>
      <w:r w:rsidDel="00000000" w:rsidR="00000000" w:rsidRPr="00000000">
        <w:rPr>
          <w:rtl w:val="0"/>
        </w:rPr>
        <w:t xml:space="preserve"> Comparing your business to recently sold similar businesses in your industry.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Asset-Based (Liquidation):</w:t>
      </w:r>
      <w:r w:rsidDel="00000000" w:rsidR="00000000" w:rsidRPr="00000000">
        <w:rPr>
          <w:rtl w:val="0"/>
        </w:rPr>
        <w:t xml:space="preserve"> Used for closing businesses. Value is calculated strictly by tangible assets (inventory, equipment, real estate) minus liabilities.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Income Approach (Discounted Cash Flow):</w:t>
      </w:r>
      <w:r w:rsidDel="00000000" w:rsidR="00000000" w:rsidRPr="00000000">
        <w:rPr>
          <w:rtl w:val="0"/>
        </w:rPr>
        <w:t xml:space="preserve"> Used for larger firms. Projects future earnings and adjusts them for current value/risk.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gm7fcvhgme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The "Walk-Away" Number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  <w:t xml:space="preserve">Before listing, calculate your net proceeds.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Sale Price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Minus</w:t>
      </w:r>
      <w:r w:rsidDel="00000000" w:rsidR="00000000" w:rsidRPr="00000000">
        <w:rPr>
          <w:rtl w:val="0"/>
        </w:rPr>
        <w:t xml:space="preserve"> Broker Fees (typically 10-12%)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Minus</w:t>
      </w:r>
      <w:r w:rsidDel="00000000" w:rsidR="00000000" w:rsidRPr="00000000">
        <w:rPr>
          <w:rtl w:val="0"/>
        </w:rPr>
        <w:t xml:space="preserve"> Taxes (Capital Gains)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Minus</w:t>
      </w:r>
      <w:r w:rsidDel="00000000" w:rsidR="00000000" w:rsidRPr="00000000">
        <w:rPr>
          <w:rtl w:val="0"/>
        </w:rPr>
        <w:t xml:space="preserve"> Debt Payoff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= Cash at Closing</w:t>
      </w:r>
    </w:p>
    <w:p w:rsidR="00000000" w:rsidDel="00000000" w:rsidP="00000000" w:rsidRDefault="00000000" w:rsidRPr="00000000" w14:paraId="0000002C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 Tip:</w:t>
      </w:r>
      <w:r w:rsidDel="00000000" w:rsidR="00000000" w:rsidRPr="00000000">
        <w:rPr>
          <w:rtl w:val="0"/>
        </w:rPr>
        <w:t xml:space="preserve"> If your "Cash at Closing" doesn't fund your next phase of life (retirement or new venture), </w:t>
      </w:r>
      <w:r w:rsidDel="00000000" w:rsidR="00000000" w:rsidRPr="00000000">
        <w:rPr>
          <w:b w:val="1"/>
          <w:bCs w:val="1"/>
          <w:rtl w:val="0"/>
        </w:rPr>
        <w:t xml:space="preserve">do not sell yet.</w:t>
      </w:r>
      <w:r w:rsidDel="00000000" w:rsidR="00000000" w:rsidRPr="00000000">
        <w:rPr>
          <w:rtl w:val="0"/>
        </w:rPr>
        <w:t xml:space="preserve"> Focus on increasing SDE and reducing owner dependency for 12–24 months first.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