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0" w:line="340" w:lineRule="auto"/>
        <w:jc w:val="center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k4hs6uuc6v8b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6"/>
          <w:szCs w:val="36"/>
          <w:rtl w:val="0"/>
        </w:rPr>
        <w:t xml:space="preserve">Small Business Funding Checklist: Your Complete Pre-Application Guide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This checklist is designed to help you systematically prepare for and navigate the funding landscape, ensuring you pursue the right capital for your growth strategy.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Stage 1: Foundation &amp; Self-Assessment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Before you seek a single dollar, complete these internal steps.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Business Fundamentals: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Business Plan: Is it updated with clear objectives, market analysis, and a 3-5 year financial projection?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Funding Purpose: Have you precisely defined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how much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you need and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exactly what for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(e.g., $50k for inventory, $25k for a new hire)?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Business Legality: Is your business legally registered, and are all licenses/permits current?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Time in Business: Have you noted your operational history? (Critical for loan eligibility).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Financial Health &amp; Documentation: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Credit Scores: Have you checked both your personal and business credit scores? (Know where you stand).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Financial Statements: Are your profit &amp; loss statements, balance sheets, and cash flow statements organized and up-to-date?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Tax Returns: Are your business (and often personal) tax returns for the past 2-3 years filed and ready?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Bank Statements: Do you have clean, consistent business bank statements (typically 6+ months)?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Debt Schedule: Do you have a clear list of all existing debts and obligations?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Stage 2: Funding Strategy &amp; Option Evaluation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Match your needs to the right source of capital.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Funding Type Alignment: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Debt vs. Equity: Have you decided if you prefer a loan (debt) to repay or are willing to give up ownership (equity)?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Amount &amp; Term: Does the funding type match the amount you need and your desired repayment/growth timeline?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Option-Specific Readiness:</w:t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For Bank/SBA Loans: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Collateral identified (assets to secure the loan).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Strong personal financial history prepared.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For Investors (Angels/VC):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 compelling pitch deck and executive summary.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 clear valuation of your business.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Defined "what's in it for them" (ROI, exit strategy).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For Alternative Lenders: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Understanding of higher APR/rates and terms.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Assessment of cash flow ability to handle daily/weekly repayments.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For Grants: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Research completed for eligibility (industry, location, demographic).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Proposal writing resources allocated.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For Bootstrapping/Crowdfunding: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Plan for reinvesting profits or preselling.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Marketing campaign strategy for crowdfunding.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Stage 3: Application Preparation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Get your package ready to impress.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Executive Summary: A one-page, powerful snapshot of your business and funding request.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Pitch Materials: Tailored pitch deck or business plan summary for the specific funder.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Use of Funds: A detailed, justified breakdown of how every dollar will be spent.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Repayment/ROI Plan: A clear model showing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how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you will repay a loan or generate returns for investors.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Legal Documents: Articles of Incorporation, Operating Agreement, Franchise Agreement, etc., organized.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Key Team Resumes: Highlighting relevant experience of founders and management.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Stage 4: Risk Assessment &amp; Mitigation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Be prepared for tough questions.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Risk Analysis: Have you identified key business risks (market, competition, operational) and outlined mitigation plans?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Personal Guarantee: Are you prepared to personally guarantee the debt? (Often required).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Plan B: Do you have a contingency plan if you don’t get the full funding, or if business underperforms post-funding?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Stage 5: Submission &amp; Follow-Up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Execute the process professionally.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Target List: Have you identified and prioritized 5-10 potential lenders/investors?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Application Review: Has a trusted advisor (CPA, mentor) reviewed your complete application package?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Submission Log: Are you tracking applications, dates, contacts, and follow-up steps?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Q&amp;A Preparation: Have you practiced answering tough questions about your financials, market, and projections?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Next Steps: Are you ready to promptly provide any additional documentation requested?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Final Step: Strategic Decision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When offers arrive, evaluate wisely.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Compare Terms: APR/interest rate, total cost of capital, fees, term length, monthly payment, personal guarantees.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Alignment Check: Does this funding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truly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support your long-term growth strategy without overburdening the business?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Professional Counsel: Have you consulted with your accountant or attorney before signing any agreement?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Remember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: Funding is a tool, not a goal. The right capital at the right time, aligned with a solid strategy, fuels sustainable growth. Use this checklist to prepare thoroughly and approach the process with confidence.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